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68" w:rsidRDefault="00B24668" w:rsidP="00B24668">
      <w:pPr>
        <w:pBdr>
          <w:top w:val="triple" w:sz="4" w:space="1" w:color="auto"/>
          <w:left w:val="triple" w:sz="4" w:space="4" w:color="auto"/>
          <w:bottom w:val="triple" w:sz="4" w:space="1" w:color="auto"/>
          <w:right w:val="triple" w:sz="4" w:space="4" w:color="auto"/>
        </w:pBdr>
        <w:spacing w:after="0" w:line="240" w:lineRule="auto"/>
        <w:jc w:val="center"/>
        <w:rPr>
          <w:b/>
          <w:sz w:val="32"/>
          <w:szCs w:val="24"/>
        </w:rPr>
      </w:pPr>
      <w:r>
        <w:rPr>
          <w:b/>
          <w:sz w:val="32"/>
          <w:szCs w:val="24"/>
        </w:rPr>
        <w:t>J</w:t>
      </w:r>
      <w:r w:rsidR="0068358C" w:rsidRPr="0068358C">
        <w:rPr>
          <w:b/>
          <w:sz w:val="32"/>
          <w:szCs w:val="24"/>
        </w:rPr>
        <w:t xml:space="preserve">oint </w:t>
      </w:r>
      <w:r>
        <w:rPr>
          <w:b/>
          <w:sz w:val="32"/>
          <w:szCs w:val="24"/>
        </w:rPr>
        <w:t>S</w:t>
      </w:r>
      <w:r w:rsidR="0068358C" w:rsidRPr="0068358C">
        <w:rPr>
          <w:b/>
          <w:sz w:val="32"/>
          <w:szCs w:val="24"/>
        </w:rPr>
        <w:t xml:space="preserve">tatement on the </w:t>
      </w:r>
      <w:r>
        <w:rPr>
          <w:b/>
          <w:sz w:val="32"/>
          <w:szCs w:val="24"/>
        </w:rPr>
        <w:t>D</w:t>
      </w:r>
      <w:r w:rsidR="0068358C" w:rsidRPr="0068358C">
        <w:rPr>
          <w:b/>
          <w:sz w:val="32"/>
          <w:szCs w:val="24"/>
        </w:rPr>
        <w:t xml:space="preserve">evelopment of </w:t>
      </w:r>
      <w:r>
        <w:rPr>
          <w:b/>
          <w:sz w:val="32"/>
          <w:szCs w:val="24"/>
        </w:rPr>
        <w:t>F</w:t>
      </w:r>
      <w:r w:rsidR="0068358C" w:rsidRPr="0068358C">
        <w:rPr>
          <w:b/>
          <w:sz w:val="32"/>
          <w:szCs w:val="24"/>
        </w:rPr>
        <w:t>isheries</w:t>
      </w:r>
    </w:p>
    <w:p w:rsidR="0068358C" w:rsidRDefault="00B24668" w:rsidP="00B24668">
      <w:pPr>
        <w:pBdr>
          <w:top w:val="triple" w:sz="4" w:space="1" w:color="auto"/>
          <w:left w:val="triple" w:sz="4" w:space="4" w:color="auto"/>
          <w:bottom w:val="triple" w:sz="4" w:space="1" w:color="auto"/>
          <w:right w:val="triple" w:sz="4" w:space="4" w:color="auto"/>
        </w:pBdr>
        <w:spacing w:after="0" w:line="240" w:lineRule="auto"/>
        <w:jc w:val="center"/>
        <w:rPr>
          <w:b/>
          <w:sz w:val="32"/>
          <w:szCs w:val="24"/>
        </w:rPr>
      </w:pPr>
      <w:r>
        <w:rPr>
          <w:b/>
          <w:sz w:val="32"/>
          <w:szCs w:val="24"/>
        </w:rPr>
        <w:t>R</w:t>
      </w:r>
      <w:r w:rsidR="0068358C" w:rsidRPr="0068358C">
        <w:rPr>
          <w:b/>
          <w:sz w:val="32"/>
          <w:szCs w:val="24"/>
        </w:rPr>
        <w:t>egulations for the Nunavut Settlement Area</w:t>
      </w:r>
    </w:p>
    <w:p w:rsidR="00B24668" w:rsidRDefault="00B24668" w:rsidP="00962DE4">
      <w:pPr>
        <w:spacing w:after="0" w:line="240" w:lineRule="auto"/>
        <w:rPr>
          <w:sz w:val="24"/>
          <w:szCs w:val="24"/>
        </w:rPr>
      </w:pPr>
    </w:p>
    <w:p w:rsidR="00BE7767" w:rsidRPr="00BE7767" w:rsidRDefault="00BE7767" w:rsidP="00BE7767">
      <w:pPr>
        <w:rPr>
          <w:sz w:val="24"/>
          <w:szCs w:val="24"/>
        </w:rPr>
      </w:pPr>
      <w:r w:rsidRPr="00BE7767">
        <w:rPr>
          <w:sz w:val="24"/>
          <w:szCs w:val="24"/>
        </w:rPr>
        <w:t>July 9, 2018</w:t>
      </w:r>
      <w:bookmarkStart w:id="0" w:name="_GoBack"/>
      <w:bookmarkEnd w:id="0"/>
    </w:p>
    <w:p w:rsidR="00BE7767" w:rsidRPr="00BE7767" w:rsidRDefault="00BE7767" w:rsidP="00BE7767">
      <w:pPr>
        <w:rPr>
          <w:sz w:val="24"/>
          <w:szCs w:val="24"/>
        </w:rPr>
      </w:pPr>
      <w:r w:rsidRPr="00BE7767">
        <w:rPr>
          <w:sz w:val="24"/>
          <w:szCs w:val="24"/>
        </w:rPr>
        <w:t xml:space="preserve">The </w:t>
      </w:r>
      <w:r w:rsidRPr="00BE7767">
        <w:rPr>
          <w:i/>
          <w:sz w:val="24"/>
          <w:szCs w:val="24"/>
        </w:rPr>
        <w:t>Nunavut Agreement</w:t>
      </w:r>
      <w:r w:rsidRPr="00BE7767">
        <w:rPr>
          <w:sz w:val="24"/>
          <w:szCs w:val="24"/>
        </w:rPr>
        <w:t xml:space="preserve"> created a co-management system with defined and complementary roles for the Minister of Fisheries and Oceans, the Nunavut Wildlife Management Board, Regional Wildlife Organizations, and Hunters and Trappers Organizations - while recognizing Inuit harvesting rights, including fishing rights.  </w:t>
      </w:r>
    </w:p>
    <w:p w:rsidR="00BE7767" w:rsidRPr="00BE7767" w:rsidRDefault="00BE7767" w:rsidP="00BE7767">
      <w:pPr>
        <w:rPr>
          <w:sz w:val="24"/>
          <w:szCs w:val="24"/>
        </w:rPr>
      </w:pPr>
      <w:r w:rsidRPr="00BE7767">
        <w:rPr>
          <w:sz w:val="24"/>
          <w:szCs w:val="24"/>
        </w:rPr>
        <w:t>To celebrate the 25</w:t>
      </w:r>
      <w:r w:rsidRPr="00BE7767">
        <w:rPr>
          <w:sz w:val="24"/>
          <w:szCs w:val="24"/>
          <w:vertAlign w:val="superscript"/>
        </w:rPr>
        <w:t>th</w:t>
      </w:r>
      <w:r w:rsidRPr="00BE7767">
        <w:rPr>
          <w:sz w:val="24"/>
          <w:szCs w:val="24"/>
        </w:rPr>
        <w:t xml:space="preserve"> anniversary of the </w:t>
      </w:r>
      <w:r w:rsidRPr="00BE7767">
        <w:rPr>
          <w:i/>
          <w:sz w:val="24"/>
          <w:szCs w:val="24"/>
        </w:rPr>
        <w:t>Nunavut Agreement</w:t>
      </w:r>
      <w:r w:rsidRPr="00BE7767">
        <w:rPr>
          <w:sz w:val="24"/>
          <w:szCs w:val="24"/>
        </w:rPr>
        <w:t xml:space="preserve"> and in recognition of significant progress in recent months to develop the policies to support the future regulation of fisheries in the Nunavut Settlement Area under the </w:t>
      </w:r>
      <w:r w:rsidRPr="00BE7767">
        <w:rPr>
          <w:i/>
          <w:sz w:val="24"/>
          <w:szCs w:val="24"/>
        </w:rPr>
        <w:t>Fisheries Act</w:t>
      </w:r>
      <w:r w:rsidRPr="00BE7767">
        <w:rPr>
          <w:sz w:val="24"/>
          <w:szCs w:val="24"/>
        </w:rPr>
        <w:t xml:space="preserve">, Fisheries and Oceans Canada, Nunavut </w:t>
      </w:r>
      <w:proofErr w:type="spellStart"/>
      <w:r w:rsidRPr="00BE7767">
        <w:rPr>
          <w:sz w:val="24"/>
          <w:szCs w:val="24"/>
        </w:rPr>
        <w:t>Tunngavik</w:t>
      </w:r>
      <w:proofErr w:type="spellEnd"/>
      <w:r w:rsidRPr="00BE7767">
        <w:rPr>
          <w:sz w:val="24"/>
          <w:szCs w:val="24"/>
        </w:rPr>
        <w:t xml:space="preserve"> Incorporated, the Government of Nunavut, and the Nunavut Wildlife Management Board state that they will:</w:t>
      </w:r>
    </w:p>
    <w:p w:rsidR="00BE7767" w:rsidRPr="00BE7767" w:rsidRDefault="00BE7767" w:rsidP="00BE7767">
      <w:pPr>
        <w:numPr>
          <w:ilvl w:val="0"/>
          <w:numId w:val="1"/>
        </w:numPr>
        <w:spacing w:after="240"/>
        <w:ind w:left="714" w:hanging="357"/>
        <w:contextualSpacing/>
        <w:rPr>
          <w:sz w:val="24"/>
          <w:szCs w:val="24"/>
        </w:rPr>
      </w:pPr>
      <w:r w:rsidRPr="00BE7767">
        <w:rPr>
          <w:sz w:val="24"/>
          <w:szCs w:val="24"/>
        </w:rPr>
        <w:t>Work collaboratively to co-develop the policies that will form the basis of regulations to govern fisheries in the Nunavut Settlement Area (NSA);</w:t>
      </w:r>
    </w:p>
    <w:p w:rsidR="00BE7767" w:rsidRPr="00BE7767" w:rsidRDefault="00BE7767" w:rsidP="00BE7767">
      <w:pPr>
        <w:spacing w:after="240"/>
        <w:ind w:left="714"/>
        <w:contextualSpacing/>
        <w:rPr>
          <w:sz w:val="24"/>
          <w:szCs w:val="24"/>
        </w:rPr>
      </w:pPr>
    </w:p>
    <w:p w:rsidR="00BE7767" w:rsidRPr="00BE7767" w:rsidRDefault="00BE7767" w:rsidP="00BE7767">
      <w:pPr>
        <w:numPr>
          <w:ilvl w:val="0"/>
          <w:numId w:val="1"/>
        </w:numPr>
        <w:spacing w:after="240"/>
        <w:ind w:left="714" w:hanging="357"/>
        <w:contextualSpacing/>
        <w:rPr>
          <w:i/>
          <w:sz w:val="24"/>
          <w:szCs w:val="24"/>
        </w:rPr>
      </w:pPr>
      <w:r w:rsidRPr="00BE7767">
        <w:rPr>
          <w:sz w:val="24"/>
          <w:szCs w:val="24"/>
        </w:rPr>
        <w:t xml:space="preserve">Co-develop policies for the management of NSA fisheries that are consistent with the relevant wildlife management provisions of the </w:t>
      </w:r>
      <w:r w:rsidRPr="00BE7767">
        <w:rPr>
          <w:i/>
          <w:sz w:val="24"/>
          <w:szCs w:val="24"/>
        </w:rPr>
        <w:t>Nunavut Agreement</w:t>
      </w:r>
      <w:r w:rsidRPr="00BE7767">
        <w:rPr>
          <w:sz w:val="24"/>
          <w:szCs w:val="24"/>
        </w:rPr>
        <w:t>;</w:t>
      </w:r>
    </w:p>
    <w:p w:rsidR="00BE7767" w:rsidRPr="00BE7767" w:rsidRDefault="00BE7767" w:rsidP="00BE7767">
      <w:pPr>
        <w:ind w:left="720"/>
        <w:contextualSpacing/>
        <w:rPr>
          <w:i/>
          <w:sz w:val="24"/>
          <w:szCs w:val="24"/>
        </w:rPr>
      </w:pPr>
    </w:p>
    <w:p w:rsidR="00BE7767" w:rsidRPr="00BE7767" w:rsidRDefault="00BE7767" w:rsidP="00BE7767">
      <w:pPr>
        <w:widowControl w:val="0"/>
        <w:numPr>
          <w:ilvl w:val="0"/>
          <w:numId w:val="2"/>
        </w:numPr>
        <w:autoSpaceDE w:val="0"/>
        <w:autoSpaceDN w:val="0"/>
        <w:spacing w:after="240" w:line="240" w:lineRule="auto"/>
        <w:ind w:left="714" w:hanging="357"/>
        <w:rPr>
          <w:sz w:val="24"/>
          <w:szCs w:val="24"/>
        </w:rPr>
      </w:pPr>
      <w:r w:rsidRPr="00BE7767">
        <w:rPr>
          <w:sz w:val="24"/>
          <w:szCs w:val="24"/>
        </w:rPr>
        <w:t xml:space="preserve">Co-develop policies that recognize and respect the rights of Inuit, and the roles of Hunters and Trappers Organizations and Regional Wildlife Organizations, as set out in the </w:t>
      </w:r>
      <w:r w:rsidRPr="00BE7767">
        <w:rPr>
          <w:i/>
          <w:sz w:val="24"/>
          <w:szCs w:val="24"/>
        </w:rPr>
        <w:t>Nunavut Agreement</w:t>
      </w:r>
      <w:r w:rsidRPr="00BE7767">
        <w:rPr>
          <w:sz w:val="24"/>
          <w:szCs w:val="24"/>
        </w:rPr>
        <w:t>;</w:t>
      </w:r>
    </w:p>
    <w:p w:rsidR="00BE7767" w:rsidRPr="00BE7767" w:rsidRDefault="00BE7767" w:rsidP="00BE7767">
      <w:pPr>
        <w:widowControl w:val="0"/>
        <w:numPr>
          <w:ilvl w:val="0"/>
          <w:numId w:val="2"/>
        </w:numPr>
        <w:autoSpaceDE w:val="0"/>
        <w:autoSpaceDN w:val="0"/>
        <w:spacing w:after="240" w:line="240" w:lineRule="auto"/>
        <w:ind w:left="714" w:hanging="357"/>
        <w:rPr>
          <w:sz w:val="24"/>
          <w:szCs w:val="24"/>
        </w:rPr>
      </w:pPr>
      <w:r w:rsidRPr="00BE7767">
        <w:rPr>
          <w:sz w:val="24"/>
          <w:szCs w:val="24"/>
        </w:rPr>
        <w:t xml:space="preserve">Continue to recognize and respect the Nunavut Wildlife Management Board as the main instrument of wildlife management in the NSA and the main regulator of access to wildlife, having the primary responsibility in relation thereto in the manner described in the </w:t>
      </w:r>
      <w:r w:rsidRPr="00BE7767">
        <w:rPr>
          <w:i/>
          <w:sz w:val="24"/>
          <w:szCs w:val="24"/>
        </w:rPr>
        <w:t>Nunavut Agreement</w:t>
      </w:r>
      <w:r w:rsidRPr="00BE7767">
        <w:rPr>
          <w:sz w:val="24"/>
          <w:szCs w:val="24"/>
        </w:rPr>
        <w:t>;</w:t>
      </w:r>
    </w:p>
    <w:p w:rsidR="00BE7767" w:rsidRPr="00BE7767" w:rsidRDefault="00BE7767" w:rsidP="00BE7767">
      <w:pPr>
        <w:widowControl w:val="0"/>
        <w:numPr>
          <w:ilvl w:val="0"/>
          <w:numId w:val="2"/>
        </w:numPr>
        <w:autoSpaceDE w:val="0"/>
        <w:autoSpaceDN w:val="0"/>
        <w:spacing w:after="240" w:line="240" w:lineRule="auto"/>
        <w:ind w:left="714" w:hanging="357"/>
        <w:rPr>
          <w:sz w:val="24"/>
          <w:szCs w:val="24"/>
        </w:rPr>
      </w:pPr>
      <w:r w:rsidRPr="00BE7767">
        <w:rPr>
          <w:sz w:val="24"/>
          <w:szCs w:val="24"/>
        </w:rPr>
        <w:t>Continue to recognize and respect the role of the Minister of Fisheries and Oceans in the management of fisheries;</w:t>
      </w:r>
    </w:p>
    <w:p w:rsidR="00BE7767" w:rsidRPr="00BE7767" w:rsidRDefault="00BE7767" w:rsidP="00BE7767">
      <w:pPr>
        <w:widowControl w:val="0"/>
        <w:numPr>
          <w:ilvl w:val="0"/>
          <w:numId w:val="2"/>
        </w:numPr>
        <w:autoSpaceDE w:val="0"/>
        <w:autoSpaceDN w:val="0"/>
        <w:spacing w:after="240" w:line="240" w:lineRule="auto"/>
        <w:ind w:left="714" w:hanging="357"/>
        <w:rPr>
          <w:sz w:val="24"/>
          <w:szCs w:val="24"/>
        </w:rPr>
      </w:pPr>
      <w:r w:rsidRPr="00BE7767">
        <w:rPr>
          <w:sz w:val="24"/>
          <w:szCs w:val="24"/>
        </w:rPr>
        <w:t xml:space="preserve">Co-develop policies that emphasize the importance of conserving and protecting aquatic species and associated ecosystems, and that respect the principles of conservation as set out in the </w:t>
      </w:r>
      <w:r w:rsidRPr="00BE7767">
        <w:rPr>
          <w:i/>
          <w:sz w:val="24"/>
          <w:szCs w:val="24"/>
        </w:rPr>
        <w:t>Nunavut Agreement</w:t>
      </w:r>
      <w:r w:rsidRPr="00BE7767">
        <w:rPr>
          <w:sz w:val="24"/>
          <w:szCs w:val="24"/>
        </w:rPr>
        <w:t>;</w:t>
      </w:r>
    </w:p>
    <w:p w:rsidR="00BE7767" w:rsidRPr="00BE7767" w:rsidRDefault="00BE7767" w:rsidP="00BE7767">
      <w:pPr>
        <w:widowControl w:val="0"/>
        <w:numPr>
          <w:ilvl w:val="0"/>
          <w:numId w:val="2"/>
        </w:numPr>
        <w:autoSpaceDE w:val="0"/>
        <w:autoSpaceDN w:val="0"/>
        <w:spacing w:after="240" w:line="240" w:lineRule="auto"/>
        <w:ind w:left="714" w:hanging="357"/>
        <w:rPr>
          <w:sz w:val="24"/>
          <w:szCs w:val="24"/>
        </w:rPr>
      </w:pPr>
      <w:r w:rsidRPr="00BE7767">
        <w:rPr>
          <w:sz w:val="24"/>
          <w:szCs w:val="24"/>
        </w:rPr>
        <w:t xml:space="preserve">Co-develop policies that respect and consider the principles and concepts of Inuit </w:t>
      </w:r>
      <w:proofErr w:type="spellStart"/>
      <w:r w:rsidRPr="00BE7767">
        <w:rPr>
          <w:sz w:val="24"/>
          <w:szCs w:val="24"/>
        </w:rPr>
        <w:t>Qaujimajatuqangit</w:t>
      </w:r>
      <w:proofErr w:type="spellEnd"/>
      <w:r w:rsidRPr="00BE7767">
        <w:rPr>
          <w:sz w:val="24"/>
          <w:szCs w:val="24"/>
        </w:rPr>
        <w:t xml:space="preserve">; </w:t>
      </w:r>
    </w:p>
    <w:p w:rsidR="00BE7767" w:rsidRPr="00BE7767" w:rsidRDefault="00BE7767" w:rsidP="00BE7767">
      <w:pPr>
        <w:widowControl w:val="0"/>
        <w:numPr>
          <w:ilvl w:val="0"/>
          <w:numId w:val="2"/>
        </w:numPr>
        <w:autoSpaceDE w:val="0"/>
        <w:autoSpaceDN w:val="0"/>
        <w:spacing w:after="240" w:line="240" w:lineRule="auto"/>
        <w:ind w:left="714" w:hanging="357"/>
        <w:rPr>
          <w:i/>
          <w:sz w:val="24"/>
          <w:szCs w:val="24"/>
        </w:rPr>
      </w:pPr>
      <w:r w:rsidRPr="00BE7767">
        <w:rPr>
          <w:sz w:val="24"/>
          <w:szCs w:val="24"/>
        </w:rPr>
        <w:t>Co-develop policies that ensure fisheries are managed to support the economic well-being of Inuit and the Nunavut economy in general;</w:t>
      </w:r>
    </w:p>
    <w:p w:rsidR="00BE7767" w:rsidRPr="00BE7767" w:rsidRDefault="00BE7767" w:rsidP="00BE7767">
      <w:pPr>
        <w:widowControl w:val="0"/>
        <w:numPr>
          <w:ilvl w:val="0"/>
          <w:numId w:val="1"/>
        </w:numPr>
        <w:autoSpaceDE w:val="0"/>
        <w:autoSpaceDN w:val="0"/>
        <w:spacing w:after="240" w:line="240" w:lineRule="auto"/>
        <w:rPr>
          <w:sz w:val="24"/>
          <w:szCs w:val="24"/>
        </w:rPr>
      </w:pPr>
      <w:r w:rsidRPr="00BE7767">
        <w:rPr>
          <w:sz w:val="24"/>
          <w:szCs w:val="24"/>
        </w:rPr>
        <w:lastRenderedPageBreak/>
        <w:t xml:space="preserve">Consult and collaborate with </w:t>
      </w:r>
      <w:proofErr w:type="spellStart"/>
      <w:r w:rsidRPr="00BE7767">
        <w:rPr>
          <w:sz w:val="24"/>
          <w:szCs w:val="24"/>
        </w:rPr>
        <w:t>Makivik</w:t>
      </w:r>
      <w:proofErr w:type="spellEnd"/>
      <w:r w:rsidRPr="00BE7767">
        <w:rPr>
          <w:sz w:val="24"/>
          <w:szCs w:val="24"/>
        </w:rPr>
        <w:t xml:space="preserve"> Corporation and the Nunavik Marine Region Wildlife Board to co-develop the policies that will apply to the NSA Areas of Equal Use and Occupancy;</w:t>
      </w:r>
    </w:p>
    <w:p w:rsidR="00BE7767" w:rsidRPr="00BE7767" w:rsidRDefault="00BE7767" w:rsidP="00BE7767">
      <w:pPr>
        <w:widowControl w:val="0"/>
        <w:numPr>
          <w:ilvl w:val="0"/>
          <w:numId w:val="1"/>
        </w:numPr>
        <w:autoSpaceDE w:val="0"/>
        <w:autoSpaceDN w:val="0"/>
        <w:spacing w:after="240" w:line="240" w:lineRule="auto"/>
        <w:rPr>
          <w:sz w:val="24"/>
          <w:szCs w:val="24"/>
        </w:rPr>
      </w:pPr>
      <w:r w:rsidRPr="00BE7767">
        <w:rPr>
          <w:sz w:val="24"/>
          <w:szCs w:val="24"/>
        </w:rPr>
        <w:t xml:space="preserve">Consult and cooperate with Inuit, other Nunavummiut, and any other Indigenous groups that harvest inside the NSA with respect to proposed policies that will form the basis of regulations to govern fisheries in the NSA; </w:t>
      </w:r>
    </w:p>
    <w:p w:rsidR="00BE7767" w:rsidRPr="00BE7767" w:rsidRDefault="00BE7767" w:rsidP="00BE7767">
      <w:pPr>
        <w:widowControl w:val="0"/>
        <w:numPr>
          <w:ilvl w:val="0"/>
          <w:numId w:val="1"/>
        </w:numPr>
        <w:autoSpaceDE w:val="0"/>
        <w:autoSpaceDN w:val="0"/>
        <w:spacing w:after="240" w:line="240" w:lineRule="auto"/>
        <w:rPr>
          <w:sz w:val="24"/>
          <w:szCs w:val="24"/>
        </w:rPr>
      </w:pPr>
      <w:r w:rsidRPr="00BE7767">
        <w:rPr>
          <w:sz w:val="24"/>
          <w:szCs w:val="24"/>
        </w:rPr>
        <w:t xml:space="preserve">Recognizing that the Governor in Council is the regulation-making authority, co-develop the drafting of the new regulations to the fullest extent possible; and, </w:t>
      </w:r>
    </w:p>
    <w:p w:rsidR="00BE7767" w:rsidRPr="00BE7767" w:rsidRDefault="00BE7767" w:rsidP="00BE7767">
      <w:pPr>
        <w:numPr>
          <w:ilvl w:val="0"/>
          <w:numId w:val="1"/>
        </w:numPr>
        <w:spacing w:after="240"/>
        <w:ind w:left="714" w:hanging="357"/>
        <w:contextualSpacing/>
        <w:rPr>
          <w:sz w:val="24"/>
          <w:szCs w:val="24"/>
        </w:rPr>
      </w:pPr>
      <w:r w:rsidRPr="00BE7767">
        <w:rPr>
          <w:sz w:val="24"/>
          <w:szCs w:val="24"/>
        </w:rPr>
        <w:t xml:space="preserve">Work towards the pre-publication of regulations in the Canada Gazette, Part 1, in 2019. </w:t>
      </w:r>
    </w:p>
    <w:p w:rsidR="009F6E74" w:rsidRPr="00CC30C1" w:rsidRDefault="009F6E74" w:rsidP="00BE7767">
      <w:pPr>
        <w:rPr>
          <w:sz w:val="24"/>
          <w:szCs w:val="24"/>
        </w:rPr>
      </w:pPr>
    </w:p>
    <w:sectPr w:rsidR="009F6E74" w:rsidRPr="00CC30C1" w:rsidSect="00346DF3">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A6E" w:rsidRDefault="00990A6E" w:rsidP="00A820DF">
      <w:pPr>
        <w:spacing w:after="0" w:line="240" w:lineRule="auto"/>
      </w:pPr>
      <w:r>
        <w:separator/>
      </w:r>
    </w:p>
  </w:endnote>
  <w:endnote w:type="continuationSeparator" w:id="0">
    <w:p w:rsidR="00990A6E" w:rsidRDefault="00990A6E" w:rsidP="00A8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A6E" w:rsidRDefault="00990A6E" w:rsidP="00A820DF">
      <w:pPr>
        <w:spacing w:after="0" w:line="240" w:lineRule="auto"/>
      </w:pPr>
      <w:r>
        <w:separator/>
      </w:r>
    </w:p>
  </w:footnote>
  <w:footnote w:type="continuationSeparator" w:id="0">
    <w:p w:rsidR="00990A6E" w:rsidRDefault="00990A6E" w:rsidP="00A820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4E57"/>
    <w:multiLevelType w:val="hybridMultilevel"/>
    <w:tmpl w:val="78BA0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70500CF"/>
    <w:multiLevelType w:val="hybridMultilevel"/>
    <w:tmpl w:val="2C5E7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74"/>
    <w:rsid w:val="00003CFB"/>
    <w:rsid w:val="0000585A"/>
    <w:rsid w:val="00017917"/>
    <w:rsid w:val="000416B4"/>
    <w:rsid w:val="000B2009"/>
    <w:rsid w:val="000F3DC3"/>
    <w:rsid w:val="00293EB4"/>
    <w:rsid w:val="002E576F"/>
    <w:rsid w:val="003136AD"/>
    <w:rsid w:val="003421EF"/>
    <w:rsid w:val="00346DF3"/>
    <w:rsid w:val="00375DE1"/>
    <w:rsid w:val="003C042E"/>
    <w:rsid w:val="0047441D"/>
    <w:rsid w:val="00476908"/>
    <w:rsid w:val="004A7694"/>
    <w:rsid w:val="004B6904"/>
    <w:rsid w:val="00525A22"/>
    <w:rsid w:val="00527310"/>
    <w:rsid w:val="00537C8B"/>
    <w:rsid w:val="00540260"/>
    <w:rsid w:val="00553E12"/>
    <w:rsid w:val="005C56C0"/>
    <w:rsid w:val="00622667"/>
    <w:rsid w:val="00631ECD"/>
    <w:rsid w:val="0063301C"/>
    <w:rsid w:val="006644E2"/>
    <w:rsid w:val="00681AB8"/>
    <w:rsid w:val="0068358C"/>
    <w:rsid w:val="00694970"/>
    <w:rsid w:val="006A0B3F"/>
    <w:rsid w:val="006F6BAF"/>
    <w:rsid w:val="00731399"/>
    <w:rsid w:val="007B30BD"/>
    <w:rsid w:val="00800413"/>
    <w:rsid w:val="00877B32"/>
    <w:rsid w:val="008C42BF"/>
    <w:rsid w:val="009577F5"/>
    <w:rsid w:val="00962DE4"/>
    <w:rsid w:val="0096413B"/>
    <w:rsid w:val="00990A6E"/>
    <w:rsid w:val="00990D59"/>
    <w:rsid w:val="009F6E74"/>
    <w:rsid w:val="00A43A51"/>
    <w:rsid w:val="00A50BB4"/>
    <w:rsid w:val="00A820DF"/>
    <w:rsid w:val="00A86886"/>
    <w:rsid w:val="00B24668"/>
    <w:rsid w:val="00BB5851"/>
    <w:rsid w:val="00BD707A"/>
    <w:rsid w:val="00BE7767"/>
    <w:rsid w:val="00CA2E2A"/>
    <w:rsid w:val="00CC30C1"/>
    <w:rsid w:val="00CE003A"/>
    <w:rsid w:val="00CE4113"/>
    <w:rsid w:val="00D2335D"/>
    <w:rsid w:val="00DE6AE8"/>
    <w:rsid w:val="00E169A0"/>
    <w:rsid w:val="00E358A5"/>
    <w:rsid w:val="00E40466"/>
    <w:rsid w:val="00E52614"/>
    <w:rsid w:val="00F104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74"/>
    <w:pPr>
      <w:ind w:left="720"/>
      <w:contextualSpacing/>
    </w:pPr>
  </w:style>
  <w:style w:type="paragraph" w:styleId="FootnoteText">
    <w:name w:val="footnote text"/>
    <w:basedOn w:val="Normal"/>
    <w:link w:val="FootnoteTextChar"/>
    <w:uiPriority w:val="99"/>
    <w:semiHidden/>
    <w:unhideWhenUsed/>
    <w:rsid w:val="00A82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0DF"/>
    <w:rPr>
      <w:sz w:val="20"/>
      <w:szCs w:val="20"/>
    </w:rPr>
  </w:style>
  <w:style w:type="character" w:styleId="FootnoteReference">
    <w:name w:val="footnote reference"/>
    <w:basedOn w:val="DefaultParagraphFont"/>
    <w:uiPriority w:val="99"/>
    <w:semiHidden/>
    <w:unhideWhenUsed/>
    <w:rsid w:val="00A820DF"/>
    <w:rPr>
      <w:vertAlign w:val="superscript"/>
    </w:rPr>
  </w:style>
  <w:style w:type="paragraph" w:styleId="BalloonText">
    <w:name w:val="Balloon Text"/>
    <w:basedOn w:val="Normal"/>
    <w:link w:val="BalloonTextChar"/>
    <w:uiPriority w:val="99"/>
    <w:semiHidden/>
    <w:unhideWhenUsed/>
    <w:rsid w:val="00346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DF3"/>
    <w:rPr>
      <w:rFonts w:ascii="Tahoma" w:hAnsi="Tahoma" w:cs="Tahoma"/>
      <w:sz w:val="16"/>
      <w:szCs w:val="16"/>
    </w:rPr>
  </w:style>
  <w:style w:type="character" w:styleId="CommentReference">
    <w:name w:val="annotation reference"/>
    <w:basedOn w:val="DefaultParagraphFont"/>
    <w:uiPriority w:val="99"/>
    <w:semiHidden/>
    <w:unhideWhenUsed/>
    <w:rsid w:val="00CC30C1"/>
    <w:rPr>
      <w:sz w:val="16"/>
      <w:szCs w:val="16"/>
    </w:rPr>
  </w:style>
  <w:style w:type="paragraph" w:styleId="CommentText">
    <w:name w:val="annotation text"/>
    <w:basedOn w:val="Normal"/>
    <w:link w:val="CommentTextChar"/>
    <w:uiPriority w:val="99"/>
    <w:semiHidden/>
    <w:unhideWhenUsed/>
    <w:rsid w:val="00CC30C1"/>
    <w:pPr>
      <w:spacing w:line="240" w:lineRule="auto"/>
    </w:pPr>
    <w:rPr>
      <w:sz w:val="20"/>
      <w:szCs w:val="20"/>
    </w:rPr>
  </w:style>
  <w:style w:type="character" w:customStyle="1" w:styleId="CommentTextChar">
    <w:name w:val="Comment Text Char"/>
    <w:basedOn w:val="DefaultParagraphFont"/>
    <w:link w:val="CommentText"/>
    <w:uiPriority w:val="99"/>
    <w:semiHidden/>
    <w:rsid w:val="00CC30C1"/>
    <w:rPr>
      <w:sz w:val="20"/>
      <w:szCs w:val="20"/>
    </w:rPr>
  </w:style>
  <w:style w:type="paragraph" w:styleId="CommentSubject">
    <w:name w:val="annotation subject"/>
    <w:basedOn w:val="CommentText"/>
    <w:next w:val="CommentText"/>
    <w:link w:val="CommentSubjectChar"/>
    <w:uiPriority w:val="99"/>
    <w:semiHidden/>
    <w:unhideWhenUsed/>
    <w:rsid w:val="004B6904"/>
    <w:rPr>
      <w:b/>
      <w:bCs/>
    </w:rPr>
  </w:style>
  <w:style w:type="character" w:customStyle="1" w:styleId="CommentSubjectChar">
    <w:name w:val="Comment Subject Char"/>
    <w:basedOn w:val="CommentTextChar"/>
    <w:link w:val="CommentSubject"/>
    <w:uiPriority w:val="99"/>
    <w:semiHidden/>
    <w:rsid w:val="004B6904"/>
    <w:rPr>
      <w:b/>
      <w:bCs/>
      <w:sz w:val="20"/>
      <w:szCs w:val="20"/>
    </w:rPr>
  </w:style>
  <w:style w:type="paragraph" w:styleId="Header">
    <w:name w:val="header"/>
    <w:basedOn w:val="Normal"/>
    <w:link w:val="HeaderChar"/>
    <w:uiPriority w:val="99"/>
    <w:unhideWhenUsed/>
    <w:rsid w:val="00540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60"/>
  </w:style>
  <w:style w:type="paragraph" w:styleId="Footer">
    <w:name w:val="footer"/>
    <w:basedOn w:val="Normal"/>
    <w:link w:val="FooterChar"/>
    <w:uiPriority w:val="99"/>
    <w:unhideWhenUsed/>
    <w:rsid w:val="0054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74"/>
    <w:pPr>
      <w:ind w:left="720"/>
      <w:contextualSpacing/>
    </w:pPr>
  </w:style>
  <w:style w:type="paragraph" w:styleId="FootnoteText">
    <w:name w:val="footnote text"/>
    <w:basedOn w:val="Normal"/>
    <w:link w:val="FootnoteTextChar"/>
    <w:uiPriority w:val="99"/>
    <w:semiHidden/>
    <w:unhideWhenUsed/>
    <w:rsid w:val="00A82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0DF"/>
    <w:rPr>
      <w:sz w:val="20"/>
      <w:szCs w:val="20"/>
    </w:rPr>
  </w:style>
  <w:style w:type="character" w:styleId="FootnoteReference">
    <w:name w:val="footnote reference"/>
    <w:basedOn w:val="DefaultParagraphFont"/>
    <w:uiPriority w:val="99"/>
    <w:semiHidden/>
    <w:unhideWhenUsed/>
    <w:rsid w:val="00A820DF"/>
    <w:rPr>
      <w:vertAlign w:val="superscript"/>
    </w:rPr>
  </w:style>
  <w:style w:type="paragraph" w:styleId="BalloonText">
    <w:name w:val="Balloon Text"/>
    <w:basedOn w:val="Normal"/>
    <w:link w:val="BalloonTextChar"/>
    <w:uiPriority w:val="99"/>
    <w:semiHidden/>
    <w:unhideWhenUsed/>
    <w:rsid w:val="00346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DF3"/>
    <w:rPr>
      <w:rFonts w:ascii="Tahoma" w:hAnsi="Tahoma" w:cs="Tahoma"/>
      <w:sz w:val="16"/>
      <w:szCs w:val="16"/>
    </w:rPr>
  </w:style>
  <w:style w:type="character" w:styleId="CommentReference">
    <w:name w:val="annotation reference"/>
    <w:basedOn w:val="DefaultParagraphFont"/>
    <w:uiPriority w:val="99"/>
    <w:semiHidden/>
    <w:unhideWhenUsed/>
    <w:rsid w:val="00CC30C1"/>
    <w:rPr>
      <w:sz w:val="16"/>
      <w:szCs w:val="16"/>
    </w:rPr>
  </w:style>
  <w:style w:type="paragraph" w:styleId="CommentText">
    <w:name w:val="annotation text"/>
    <w:basedOn w:val="Normal"/>
    <w:link w:val="CommentTextChar"/>
    <w:uiPriority w:val="99"/>
    <w:semiHidden/>
    <w:unhideWhenUsed/>
    <w:rsid w:val="00CC30C1"/>
    <w:pPr>
      <w:spacing w:line="240" w:lineRule="auto"/>
    </w:pPr>
    <w:rPr>
      <w:sz w:val="20"/>
      <w:szCs w:val="20"/>
    </w:rPr>
  </w:style>
  <w:style w:type="character" w:customStyle="1" w:styleId="CommentTextChar">
    <w:name w:val="Comment Text Char"/>
    <w:basedOn w:val="DefaultParagraphFont"/>
    <w:link w:val="CommentText"/>
    <w:uiPriority w:val="99"/>
    <w:semiHidden/>
    <w:rsid w:val="00CC30C1"/>
    <w:rPr>
      <w:sz w:val="20"/>
      <w:szCs w:val="20"/>
    </w:rPr>
  </w:style>
  <w:style w:type="paragraph" w:styleId="CommentSubject">
    <w:name w:val="annotation subject"/>
    <w:basedOn w:val="CommentText"/>
    <w:next w:val="CommentText"/>
    <w:link w:val="CommentSubjectChar"/>
    <w:uiPriority w:val="99"/>
    <w:semiHidden/>
    <w:unhideWhenUsed/>
    <w:rsid w:val="004B6904"/>
    <w:rPr>
      <w:b/>
      <w:bCs/>
    </w:rPr>
  </w:style>
  <w:style w:type="character" w:customStyle="1" w:styleId="CommentSubjectChar">
    <w:name w:val="Comment Subject Char"/>
    <w:basedOn w:val="CommentTextChar"/>
    <w:link w:val="CommentSubject"/>
    <w:uiPriority w:val="99"/>
    <w:semiHidden/>
    <w:rsid w:val="004B6904"/>
    <w:rPr>
      <w:b/>
      <w:bCs/>
      <w:sz w:val="20"/>
      <w:szCs w:val="20"/>
    </w:rPr>
  </w:style>
  <w:style w:type="paragraph" w:styleId="Header">
    <w:name w:val="header"/>
    <w:basedOn w:val="Normal"/>
    <w:link w:val="HeaderChar"/>
    <w:uiPriority w:val="99"/>
    <w:unhideWhenUsed/>
    <w:rsid w:val="00540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60"/>
  </w:style>
  <w:style w:type="paragraph" w:styleId="Footer">
    <w:name w:val="footer"/>
    <w:basedOn w:val="Normal"/>
    <w:link w:val="FooterChar"/>
    <w:uiPriority w:val="99"/>
    <w:unhideWhenUsed/>
    <w:rsid w:val="0054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A8856-1529-4AFE-9A04-1D4641DA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DFO-MPO</dc:creator>
  <cp:lastModifiedBy>Rosaleen O'Mahony</cp:lastModifiedBy>
  <cp:revision>3</cp:revision>
  <cp:lastPrinted>2018-05-04T17:20:00Z</cp:lastPrinted>
  <dcterms:created xsi:type="dcterms:W3CDTF">2018-07-04T19:28:00Z</dcterms:created>
  <dcterms:modified xsi:type="dcterms:W3CDTF">2018-07-06T21:08:00Z</dcterms:modified>
</cp:coreProperties>
</file>